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intelligence2.xml" ContentType="application/vnd.ms-office.intelligence2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444D4CD4" w:rsidP="444D4CD4" w:rsidRDefault="444D4CD4" w14:paraId="481D77F5" w14:textId="38F2F95E">
      <w:pPr>
        <w:pStyle w:val="Heading1"/>
        <w:rPr>
          <w:b w:val="1"/>
          <w:bCs w:val="1"/>
          <w:noProof w:val="0"/>
          <w:color w:val="auto"/>
          <w:sz w:val="36"/>
          <w:szCs w:val="36"/>
          <w:lang w:val="en-US"/>
        </w:rPr>
      </w:pPr>
      <w:r w:rsidRPr="444D4CD4" w:rsidR="444D4CD4">
        <w:rPr>
          <w:b w:val="1"/>
          <w:bCs w:val="1"/>
          <w:noProof w:val="0"/>
          <w:color w:val="auto"/>
          <w:sz w:val="36"/>
          <w:szCs w:val="36"/>
          <w:lang w:val="en-US"/>
        </w:rPr>
        <w:t xml:space="preserve">XYZ AIRONE 100 Glass, 6 </w:t>
      </w:r>
      <w:r w:rsidRPr="444D4CD4" w:rsidR="444D4CD4">
        <w:rPr>
          <w:b w:val="1"/>
          <w:bCs w:val="1"/>
          <w:noProof w:val="0"/>
          <w:color w:val="auto"/>
          <w:sz w:val="36"/>
          <w:szCs w:val="36"/>
          <w:lang w:val="en-US"/>
        </w:rPr>
        <w:t>ventiladores</w:t>
      </w:r>
      <w:r w:rsidRPr="444D4CD4" w:rsidR="444D4CD4">
        <w:rPr>
          <w:b w:val="1"/>
          <w:bCs w:val="1"/>
          <w:noProof w:val="0"/>
          <w:color w:val="auto"/>
          <w:sz w:val="36"/>
          <w:szCs w:val="36"/>
          <w:lang w:val="en-US"/>
        </w:rPr>
        <w:t xml:space="preserve"> A-RGB de 120/140mm, USB 3.0, </w:t>
      </w:r>
      <w:r w:rsidRPr="444D4CD4" w:rsidR="444D4CD4">
        <w:rPr>
          <w:b w:val="1"/>
          <w:bCs w:val="1"/>
          <w:noProof w:val="0"/>
          <w:color w:val="auto"/>
          <w:sz w:val="36"/>
          <w:szCs w:val="36"/>
          <w:lang w:val="en-US"/>
        </w:rPr>
        <w:t>diseño</w:t>
      </w:r>
      <w:r w:rsidRPr="444D4CD4" w:rsidR="444D4CD4">
        <w:rPr>
          <w:b w:val="1"/>
          <w:bCs w:val="1"/>
          <w:noProof w:val="0"/>
          <w:color w:val="auto"/>
          <w:sz w:val="36"/>
          <w:szCs w:val="36"/>
          <w:lang w:val="en-US"/>
        </w:rPr>
        <w:t xml:space="preserve"> de </w:t>
      </w:r>
      <w:r w:rsidRPr="444D4CD4" w:rsidR="444D4CD4">
        <w:rPr>
          <w:b w:val="1"/>
          <w:bCs w:val="1"/>
          <w:noProof w:val="0"/>
          <w:color w:val="auto"/>
          <w:sz w:val="36"/>
          <w:szCs w:val="36"/>
          <w:lang w:val="en-US"/>
        </w:rPr>
        <w:t>vidrio</w:t>
      </w:r>
      <w:r w:rsidRPr="444D4CD4" w:rsidR="444D4CD4">
        <w:rPr>
          <w:b w:val="1"/>
          <w:bCs w:val="1"/>
          <w:noProof w:val="0"/>
          <w:color w:val="auto"/>
          <w:sz w:val="36"/>
          <w:szCs w:val="36"/>
          <w:lang w:val="en-US"/>
        </w:rPr>
        <w:t xml:space="preserve"> frontal, ATX</w:t>
      </w:r>
    </w:p>
    <w:p w:rsidR="444D4CD4" w:rsidP="444D4CD4" w:rsidRDefault="444D4CD4" w14:paraId="409C1581" w14:textId="0FF3C005">
      <w:pPr>
        <w:spacing w:before="240" w:beforeAutospacing="off" w:after="240" w:afterAutospacing="off"/>
      </w:pP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>Sumérgete en la belleza de la transparencia y el rendimiento con la XYZ AIRONE 100 Glass. Esta caja ATX combina un diseño elegante con un flujo de aire excepcional, brindándote una experiencia de juego inigualable.</w:t>
      </w:r>
    </w:p>
    <w:p w:rsidR="444D4CD4" w:rsidP="444D4CD4" w:rsidRDefault="444D4CD4" w14:paraId="7129C008" w14:textId="0DF7D213">
      <w:pPr>
        <w:spacing w:before="240" w:beforeAutospacing="off" w:after="240" w:afterAutospacing="off"/>
      </w:pPr>
      <w:r w:rsidRPr="444D4CD4" w:rsidR="444D4CD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Características principales:</w:t>
      </w:r>
    </w:p>
    <w:p w:rsidR="444D4CD4" w:rsidP="444D4CD4" w:rsidRDefault="444D4CD4" w14:paraId="22AA1422" w14:textId="04AEC556">
      <w:pPr>
        <w:pStyle w:val="ListParagraph"/>
        <w:numPr>
          <w:ilvl w:val="0"/>
          <w:numId w:val="3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Diseño de vidrio frontal:</w:t>
      </w: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El panel frontal de vidrio templado de la AIRONE 100 Glass ofrece una vista panorámica de tus componentes internos, convirtiendo tu PC en una obra de arte iluminada.</w:t>
      </w:r>
    </w:p>
    <w:p w:rsidR="444D4CD4" w:rsidP="444D4CD4" w:rsidRDefault="444D4CD4" w14:paraId="3BF06A4B" w14:textId="6B851D49">
      <w:pPr>
        <w:pStyle w:val="ListParagraph"/>
        <w:numPr>
          <w:ilvl w:val="0"/>
          <w:numId w:val="3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Impresionante iluminación ARGB:</w:t>
      </w: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Disfruta de un espectáculo de luces personalizable con los 6 ventiladores ARGB AIRPULSE 100 incluidos (3 frontales, 2 superiores y 1 trasero). Crea una atmósfera única y sincroniza los efectos de iluminación con tu placa base compatible.</w:t>
      </w:r>
    </w:p>
    <w:p w:rsidR="444D4CD4" w:rsidP="444D4CD4" w:rsidRDefault="444D4CD4" w14:paraId="51F10487" w14:textId="6041164E">
      <w:pPr>
        <w:pStyle w:val="ListParagraph"/>
        <w:numPr>
          <w:ilvl w:val="0"/>
          <w:numId w:val="3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Flujo de aire optimizado:</w:t>
      </w: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El diseño de la AIRONE 100 Glass, junto con sus múltiples opciones de montaje para ventiladores y radiadores de refrigeración líquida, garantiza una ventilación excepcional para mantener tus componentes frescos incluso bajo las cargas de trabajo más exigentes.</w:t>
      </w:r>
    </w:p>
    <w:p w:rsidR="444D4CD4" w:rsidP="444D4CD4" w:rsidRDefault="444D4CD4" w14:paraId="635E49DC" w14:textId="77B7D764">
      <w:pPr>
        <w:pStyle w:val="ListParagraph"/>
        <w:numPr>
          <w:ilvl w:val="0"/>
          <w:numId w:val="3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Amplia compatibilidad:</w:t>
      </w: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Esta caja admite placas base ATX, Micro-ATX y Mini-ITX, así como tarjetas gráficas de hasta 320 mm y refrigeradores de CPU de hasta 155 mm, lo que te brinda la flexibilidad de crear la configuración perfecta para tus necesidades.</w:t>
      </w:r>
    </w:p>
    <w:p w:rsidR="444D4CD4" w:rsidP="444D4CD4" w:rsidRDefault="444D4CD4" w14:paraId="45218F99" w14:textId="35C5ED36">
      <w:pPr>
        <w:pStyle w:val="ListParagraph"/>
        <w:numPr>
          <w:ilvl w:val="0"/>
          <w:numId w:val="3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Conectividad moderna:</w:t>
      </w: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Conecta tus dispositivos con facilidad gracias a los puertos USB 3.0 y USB 2.0, así como a los conectores de audio HD en el panel frontal.</w:t>
      </w:r>
    </w:p>
    <w:p w:rsidR="444D4CD4" w:rsidP="444D4CD4" w:rsidRDefault="444D4CD4" w14:paraId="1B5A397C" w14:textId="7523D07A">
      <w:pPr>
        <w:pStyle w:val="ListParagraph"/>
        <w:numPr>
          <w:ilvl w:val="0"/>
          <w:numId w:val="3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Fácil mantenimiento:</w:t>
      </w: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Los filtros de polvo en la parte frontal, superior e inferior garantizan que tu sistema se mantenga limpio y funcionando de manera óptima.</w:t>
      </w:r>
    </w:p>
    <w:p w:rsidR="444D4CD4" w:rsidP="444D4CD4" w:rsidRDefault="444D4CD4" w14:paraId="4A4928EA" w14:textId="74CE9CA5">
      <w:pPr>
        <w:spacing w:before="240" w:beforeAutospacing="off" w:after="240" w:afterAutospacing="off"/>
      </w:pPr>
      <w:r w:rsidRPr="444D4CD4" w:rsidR="444D4CD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Especificaciones técnicas:</w:t>
      </w:r>
    </w:p>
    <w:p w:rsidR="444D4CD4" w:rsidP="444D4CD4" w:rsidRDefault="444D4CD4" w14:paraId="5FDF711D" w14:textId="1D39E4B2">
      <w:pPr>
        <w:pStyle w:val="ListParagraph"/>
        <w:numPr>
          <w:ilvl w:val="0"/>
          <w:numId w:val="4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>Tamaño de la estructura: 200 x 440 x 350 mm (ancho x alto x profundidad)</w:t>
      </w:r>
    </w:p>
    <w:p w:rsidR="444D4CD4" w:rsidP="444D4CD4" w:rsidRDefault="444D4CD4" w14:paraId="0438BBE7" w14:textId="4C95006F">
      <w:pPr>
        <w:pStyle w:val="ListParagraph"/>
        <w:numPr>
          <w:ilvl w:val="0"/>
          <w:numId w:val="4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>Tamaño de la caja: 200 x 445 x 390 mm (ancho x alto x profundidad) (con patas)</w:t>
      </w:r>
    </w:p>
    <w:p w:rsidR="444D4CD4" w:rsidP="444D4CD4" w:rsidRDefault="444D4CD4" w14:paraId="3AEB5F6E" w14:textId="0750AFE1">
      <w:pPr>
        <w:pStyle w:val="ListParagraph"/>
        <w:numPr>
          <w:ilvl w:val="0"/>
          <w:numId w:val="4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>Tamaño de la caja: 248 x 445 x 490 mm (ancho x alto x profundidad)</w:t>
      </w:r>
    </w:p>
    <w:p w:rsidR="444D4CD4" w:rsidP="444D4CD4" w:rsidRDefault="444D4CD4" w14:paraId="2A428A6B" w14:textId="59A2B9A4">
      <w:pPr>
        <w:pStyle w:val="ListParagraph"/>
        <w:numPr>
          <w:ilvl w:val="0"/>
          <w:numId w:val="4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>Material: Acero, vidrio templado, ABS</w:t>
      </w:r>
    </w:p>
    <w:p w:rsidR="444D4CD4" w:rsidP="444D4CD4" w:rsidRDefault="444D4CD4" w14:paraId="539A5A98" w14:textId="0DFDC174">
      <w:pPr>
        <w:pStyle w:val="ListParagraph"/>
        <w:numPr>
          <w:ilvl w:val="0"/>
          <w:numId w:val="4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>Panel lateral: Vidrio con bisagras a la izquierda</w:t>
      </w:r>
    </w:p>
    <w:p w:rsidR="444D4CD4" w:rsidP="444D4CD4" w:rsidRDefault="444D4CD4" w14:paraId="624A08E0" w14:textId="46BE24FF">
      <w:pPr>
        <w:pStyle w:val="ListParagraph"/>
        <w:numPr>
          <w:ilvl w:val="0"/>
          <w:numId w:val="4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>Peso: 4/6,2 kg</w:t>
      </w:r>
    </w:p>
    <w:p w:rsidR="444D4CD4" w:rsidP="444D4CD4" w:rsidRDefault="444D4CD4" w14:paraId="057DBC04" w14:textId="04D3424C">
      <w:pPr>
        <w:pStyle w:val="ListParagraph"/>
        <w:numPr>
          <w:ilvl w:val="0"/>
          <w:numId w:val="4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>Color: negro</w:t>
      </w:r>
    </w:p>
    <w:p w:rsidR="444D4CD4" w:rsidP="444D4CD4" w:rsidRDefault="444D4CD4" w14:paraId="6AAEC760" w14:textId="067D4739">
      <w:pPr>
        <w:pStyle w:val="ListParagraph"/>
        <w:numPr>
          <w:ilvl w:val="0"/>
          <w:numId w:val="4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>Compatibilidad con placas base: ATX/M-ATX/ITX</w:t>
      </w:r>
    </w:p>
    <w:p w:rsidR="444D4CD4" w:rsidP="444D4CD4" w:rsidRDefault="444D4CD4" w14:paraId="5956B97D" w14:textId="1266BFCF">
      <w:pPr>
        <w:pStyle w:val="ListParagraph"/>
        <w:numPr>
          <w:ilvl w:val="0"/>
          <w:numId w:val="4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>Total de ventiladores posibles:</w:t>
      </w:r>
    </w:p>
    <w:p w:rsidR="444D4CD4" w:rsidP="444D4CD4" w:rsidRDefault="444D4CD4" w14:paraId="1123CE08" w14:textId="31933147">
      <w:pPr>
        <w:pStyle w:val="ListParagraph"/>
        <w:numPr>
          <w:ilvl w:val="1"/>
          <w:numId w:val="4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>3 x 120 / 3x 140 mm (frontal)</w:t>
      </w:r>
    </w:p>
    <w:p w:rsidR="444D4CD4" w:rsidP="444D4CD4" w:rsidRDefault="444D4CD4" w14:paraId="6A59AE72" w14:textId="60C848F2">
      <w:pPr>
        <w:pStyle w:val="ListParagraph"/>
        <w:numPr>
          <w:ilvl w:val="1"/>
          <w:numId w:val="4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>2 x 120 mm (superior)</w:t>
      </w:r>
    </w:p>
    <w:p w:rsidR="444D4CD4" w:rsidP="444D4CD4" w:rsidRDefault="444D4CD4" w14:paraId="72D5B230" w14:textId="0520F61D">
      <w:pPr>
        <w:pStyle w:val="ListParagraph"/>
        <w:numPr>
          <w:ilvl w:val="1"/>
          <w:numId w:val="4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>1 x 120 mm (trasero)</w:t>
      </w:r>
    </w:p>
    <w:p w:rsidR="444D4CD4" w:rsidP="444D4CD4" w:rsidRDefault="444D4CD4" w14:paraId="3FD174F7" w14:textId="09FC1EFB">
      <w:pPr>
        <w:pStyle w:val="ListParagraph"/>
        <w:numPr>
          <w:ilvl w:val="1"/>
          <w:numId w:val="4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>2 x 120 mm (cubierta de la fuente de alimentación)</w:t>
      </w:r>
    </w:p>
    <w:p w:rsidR="444D4CD4" w:rsidP="444D4CD4" w:rsidRDefault="444D4CD4" w14:paraId="4345FFEB" w14:textId="39F38346">
      <w:pPr>
        <w:pStyle w:val="ListParagraph"/>
        <w:numPr>
          <w:ilvl w:val="0"/>
          <w:numId w:val="4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>Ventiladores preinstalados:</w:t>
      </w:r>
    </w:p>
    <w:p w:rsidR="444D4CD4" w:rsidP="444D4CD4" w:rsidRDefault="444D4CD4" w14:paraId="2E1EFD7A" w14:textId="3FCC4841">
      <w:pPr>
        <w:pStyle w:val="ListParagraph"/>
        <w:numPr>
          <w:ilvl w:val="1"/>
          <w:numId w:val="4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>3 x 140 mm (frontal) AIRPULSE 100A-RGB (flujo de aire regular)</w:t>
      </w:r>
    </w:p>
    <w:p w:rsidR="444D4CD4" w:rsidP="444D4CD4" w:rsidRDefault="444D4CD4" w14:paraId="69A07947" w14:textId="5A8AB826">
      <w:pPr>
        <w:pStyle w:val="ListParagraph"/>
        <w:numPr>
          <w:ilvl w:val="1"/>
          <w:numId w:val="4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>1 x 120 mm (trasero) AIRPULSE 100A-RGB (flujo de aire regular)</w:t>
      </w:r>
    </w:p>
    <w:p w:rsidR="444D4CD4" w:rsidP="444D4CD4" w:rsidRDefault="444D4CD4" w14:paraId="75C25DD2" w14:textId="4B096DB3">
      <w:pPr>
        <w:pStyle w:val="ListParagraph"/>
        <w:numPr>
          <w:ilvl w:val="1"/>
          <w:numId w:val="4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>2 x 120 mm (superior) AIRPULSE 100A-RGB (flujo de aire regular)</w:t>
      </w:r>
    </w:p>
    <w:p w:rsidR="444D4CD4" w:rsidP="444D4CD4" w:rsidRDefault="444D4CD4" w14:paraId="4574A611" w14:textId="3CD5892C">
      <w:pPr>
        <w:pStyle w:val="ListParagraph"/>
        <w:numPr>
          <w:ilvl w:val="0"/>
          <w:numId w:val="4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>Controlador: No</w:t>
      </w:r>
    </w:p>
    <w:p w:rsidR="444D4CD4" w:rsidP="444D4CD4" w:rsidRDefault="444D4CD4" w14:paraId="79EF35E8" w14:textId="637EE4CB">
      <w:pPr>
        <w:pStyle w:val="ListParagraph"/>
        <w:numPr>
          <w:ilvl w:val="0"/>
          <w:numId w:val="4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>Montajes de radiador:</w:t>
      </w:r>
    </w:p>
    <w:p w:rsidR="444D4CD4" w:rsidP="444D4CD4" w:rsidRDefault="444D4CD4" w14:paraId="52BEA1EF" w14:textId="05B74741">
      <w:pPr>
        <w:pStyle w:val="ListParagraph"/>
        <w:numPr>
          <w:ilvl w:val="1"/>
          <w:numId w:val="4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>1 x 120/240 mm (frontal)</w:t>
      </w:r>
    </w:p>
    <w:p w:rsidR="444D4CD4" w:rsidP="444D4CD4" w:rsidRDefault="444D4CD4" w14:paraId="56418C50" w14:textId="647F956E">
      <w:pPr>
        <w:pStyle w:val="ListParagraph"/>
        <w:numPr>
          <w:ilvl w:val="1"/>
          <w:numId w:val="4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>1 x 120 mm (trasero)</w:t>
      </w:r>
    </w:p>
    <w:p w:rsidR="444D4CD4" w:rsidP="444D4CD4" w:rsidRDefault="444D4CD4" w14:paraId="4366F0F4" w14:textId="15721E8E">
      <w:pPr>
        <w:pStyle w:val="ListParagraph"/>
        <w:numPr>
          <w:ilvl w:val="0"/>
          <w:numId w:val="4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>Filtro: Frontal/Superior/Inferior</w:t>
      </w:r>
    </w:p>
    <w:p w:rsidR="444D4CD4" w:rsidP="444D4CD4" w:rsidRDefault="444D4CD4" w14:paraId="277AB5FF" w14:textId="025DFFE9">
      <w:pPr>
        <w:pStyle w:val="ListParagraph"/>
        <w:numPr>
          <w:ilvl w:val="0"/>
          <w:numId w:val="4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>Bahías de unidad: 2x 3,5/2,5", 2 x 2,5"</w:t>
      </w:r>
    </w:p>
    <w:p w:rsidR="444D4CD4" w:rsidP="444D4CD4" w:rsidRDefault="444D4CD4" w14:paraId="3931CCA8" w14:textId="66E52781">
      <w:pPr>
        <w:pStyle w:val="ListParagraph"/>
        <w:numPr>
          <w:ilvl w:val="0"/>
          <w:numId w:val="4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>Fuente de alimentación: ATX estándar</w:t>
      </w:r>
    </w:p>
    <w:p w:rsidR="444D4CD4" w:rsidP="444D4CD4" w:rsidRDefault="444D4CD4" w14:paraId="70F5FCE0" w14:textId="6BEABEB1">
      <w:pPr>
        <w:pStyle w:val="ListParagraph"/>
        <w:numPr>
          <w:ilvl w:val="0"/>
          <w:numId w:val="4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>Ranuras de expansión: 7</w:t>
      </w:r>
    </w:p>
    <w:p w:rsidR="444D4CD4" w:rsidP="444D4CD4" w:rsidRDefault="444D4CD4" w14:paraId="2D4592DB" w14:textId="76F0A212">
      <w:pPr>
        <w:pStyle w:val="ListParagraph"/>
        <w:numPr>
          <w:ilvl w:val="0"/>
          <w:numId w:val="4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>Panel de E/S:</w:t>
      </w:r>
    </w:p>
    <w:p w:rsidR="444D4CD4" w:rsidP="444D4CD4" w:rsidRDefault="444D4CD4" w14:paraId="7B1C7487" w14:textId="1007A1FE">
      <w:pPr>
        <w:pStyle w:val="ListParagraph"/>
        <w:numPr>
          <w:ilvl w:val="1"/>
          <w:numId w:val="4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>1 x USB 3.0</w:t>
      </w:r>
    </w:p>
    <w:p w:rsidR="444D4CD4" w:rsidP="444D4CD4" w:rsidRDefault="444D4CD4" w14:paraId="53807F59" w14:textId="6BE77C0C">
      <w:pPr>
        <w:pStyle w:val="ListParagraph"/>
        <w:numPr>
          <w:ilvl w:val="1"/>
          <w:numId w:val="4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>2 x USB 2.0</w:t>
      </w:r>
    </w:p>
    <w:p w:rsidR="444D4CD4" w:rsidP="444D4CD4" w:rsidRDefault="444D4CD4" w14:paraId="77E51188" w14:textId="50267BC5">
      <w:pPr>
        <w:pStyle w:val="ListParagraph"/>
        <w:numPr>
          <w:ilvl w:val="1"/>
          <w:numId w:val="4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>1 x Entrada/Salida de audio HD</w:t>
      </w:r>
    </w:p>
    <w:p w:rsidR="444D4CD4" w:rsidP="444D4CD4" w:rsidRDefault="444D4CD4" w14:paraId="227F8393" w14:textId="578F72A5">
      <w:pPr>
        <w:pStyle w:val="ListParagraph"/>
        <w:numPr>
          <w:ilvl w:val="1"/>
          <w:numId w:val="4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>1 x Interruptor de reinicio/RGB</w:t>
      </w:r>
    </w:p>
    <w:p w:rsidR="444D4CD4" w:rsidP="444D4CD4" w:rsidRDefault="444D4CD4" w14:paraId="2CF8068A" w14:textId="0F83A63E">
      <w:pPr>
        <w:pStyle w:val="ListParagraph"/>
        <w:numPr>
          <w:ilvl w:val="0"/>
          <w:numId w:val="4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>Longitud máxima de la GPU: 320 mm</w:t>
      </w:r>
    </w:p>
    <w:p w:rsidR="444D4CD4" w:rsidP="444D4CD4" w:rsidRDefault="444D4CD4" w14:paraId="6285AAEE" w14:textId="0C861B4F">
      <w:pPr>
        <w:pStyle w:val="ListParagraph"/>
        <w:numPr>
          <w:ilvl w:val="0"/>
          <w:numId w:val="4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>Altura máxima de la CPU: 155 mm</w:t>
      </w:r>
    </w:p>
    <w:p w:rsidR="444D4CD4" w:rsidP="444D4CD4" w:rsidRDefault="444D4CD4" w14:paraId="01ECEC14" w14:textId="5761D51C">
      <w:pPr>
        <w:spacing w:before="240" w:beforeAutospacing="off" w:after="240" w:afterAutospacing="off"/>
      </w:pPr>
      <w:r w:rsidRPr="444D4CD4" w:rsidR="444D4CD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Colores disponibles</w:t>
      </w:r>
    </w:p>
    <w:p w:rsidR="444D4CD4" w:rsidP="444D4CD4" w:rsidRDefault="444D4CD4" w14:paraId="010F5932" w14:textId="504AEA0D">
      <w:pPr>
        <w:pStyle w:val="ListParagraph"/>
        <w:numPr>
          <w:ilvl w:val="0"/>
          <w:numId w:val="5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>Negro:</w:t>
      </w:r>
    </w:p>
    <w:p w:rsidR="444D4CD4" w:rsidP="444D4CD4" w:rsidRDefault="444D4CD4" w14:paraId="7216B1B2" w14:textId="0CA84F54">
      <w:pPr>
        <w:pStyle w:val="ListParagraph"/>
        <w:numPr>
          <w:ilvl w:val="1"/>
          <w:numId w:val="5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>SKU | X-CS-AIRONE1G-B</w:t>
      </w:r>
    </w:p>
    <w:p w:rsidR="444D4CD4" w:rsidP="444D4CD4" w:rsidRDefault="444D4CD4" w14:paraId="10E83E8C" w14:textId="29E944C5">
      <w:pPr>
        <w:pStyle w:val="ListParagraph"/>
        <w:numPr>
          <w:ilvl w:val="1"/>
          <w:numId w:val="5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>EAN | 6905290203558</w:t>
      </w:r>
    </w:p>
    <w:p w:rsidR="444D4CD4" w:rsidP="444D4CD4" w:rsidRDefault="444D4CD4" w14:paraId="50A3C074" w14:textId="787B2345">
      <w:pPr>
        <w:pStyle w:val="ListParagraph"/>
        <w:numPr>
          <w:ilvl w:val="0"/>
          <w:numId w:val="5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>Blanco:</w:t>
      </w:r>
    </w:p>
    <w:p w:rsidR="444D4CD4" w:rsidP="444D4CD4" w:rsidRDefault="444D4CD4" w14:paraId="3B0E1E77" w14:textId="7378BF11">
      <w:pPr>
        <w:pStyle w:val="ListParagraph"/>
        <w:numPr>
          <w:ilvl w:val="1"/>
          <w:numId w:val="5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>SKU | X-CS-AIRONE1G-W</w:t>
      </w:r>
    </w:p>
    <w:p w:rsidR="444D4CD4" w:rsidP="444D4CD4" w:rsidRDefault="444D4CD4" w14:paraId="54F98020" w14:textId="62A6B43C">
      <w:pPr>
        <w:pStyle w:val="ListParagraph"/>
        <w:numPr>
          <w:ilvl w:val="1"/>
          <w:numId w:val="5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44D4CD4" w:rsidR="444D4CD4">
        <w:rPr>
          <w:rFonts w:ascii="Aptos" w:hAnsi="Aptos" w:eastAsia="Aptos" w:cs="Aptos"/>
          <w:noProof w:val="0"/>
          <w:sz w:val="24"/>
          <w:szCs w:val="24"/>
          <w:lang w:val="en-US"/>
        </w:rPr>
        <w:t>EAN | 6905290203572</w:t>
      </w:r>
    </w:p>
    <w:p w:rsidR="444D4CD4" w:rsidP="444D4CD4" w:rsidRDefault="444D4CD4" w14:paraId="2329666B" w14:textId="66582433">
      <w:pPr>
        <w:pStyle w:val="Normal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  <w:headerReference w:type="default" r:id="R7636105bb5da4e8c"/>
      <w:footerReference w:type="default" r:id="R97904e395845499f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44D4CD4" w:rsidTr="444D4CD4" w14:paraId="7CB990B9">
      <w:trPr>
        <w:trHeight w:val="300"/>
      </w:trPr>
      <w:tc>
        <w:tcPr>
          <w:tcW w:w="3005" w:type="dxa"/>
          <w:tcMar/>
        </w:tcPr>
        <w:p w:rsidR="444D4CD4" w:rsidP="444D4CD4" w:rsidRDefault="444D4CD4" w14:paraId="0E98425A" w14:textId="14C0CC05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444D4CD4" w:rsidP="444D4CD4" w:rsidRDefault="444D4CD4" w14:paraId="4D3927B4" w14:textId="359365F7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444D4CD4" w:rsidP="444D4CD4" w:rsidRDefault="444D4CD4" w14:paraId="4B52E80B" w14:textId="1C2A890E">
          <w:pPr>
            <w:pStyle w:val="Header"/>
            <w:bidi w:val="0"/>
            <w:ind w:right="-115"/>
            <w:jc w:val="right"/>
          </w:pPr>
          <w:r>
            <w:drawing>
              <wp:inline wp14:editId="731DD233" wp14:anchorId="4F1FC0A8">
                <wp:extent cx="1762125" cy="476250"/>
                <wp:effectExtent l="0" t="0" r="0" b="0"/>
                <wp:docPr id="731032429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2977a6ee89e1428b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444D4CD4" w:rsidP="444D4CD4" w:rsidRDefault="444D4CD4" w14:paraId="780DE3EA" w14:textId="11670A47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44D4CD4" w:rsidTr="444D4CD4" w14:paraId="3BD7917B">
      <w:trPr>
        <w:trHeight w:val="300"/>
      </w:trPr>
      <w:tc>
        <w:tcPr>
          <w:tcW w:w="3005" w:type="dxa"/>
          <w:tcMar/>
        </w:tcPr>
        <w:p w:rsidR="444D4CD4" w:rsidP="444D4CD4" w:rsidRDefault="444D4CD4" w14:paraId="5040C425" w14:textId="29292886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444D4CD4" w:rsidP="444D4CD4" w:rsidRDefault="444D4CD4" w14:paraId="3CD7DA2E" w14:textId="515C3DDF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444D4CD4" w:rsidP="444D4CD4" w:rsidRDefault="444D4CD4" w14:paraId="59F032AF" w14:textId="21FBFE50">
          <w:pPr>
            <w:pStyle w:val="Header"/>
            <w:bidi w:val="0"/>
            <w:ind w:right="-115"/>
            <w:jc w:val="right"/>
          </w:pPr>
        </w:p>
      </w:tc>
    </w:tr>
  </w:tbl>
  <w:p w:rsidR="444D4CD4" w:rsidP="444D4CD4" w:rsidRDefault="444D4CD4" w14:paraId="5DD21BDA" w14:textId="7EC30567">
    <w:pPr>
      <w:pStyle w:val="Header"/>
      <w:bidi w:val="0"/>
    </w:pPr>
  </w:p>
</w:hdr>
</file>

<file path=word/intelligence2.xml><?xml version="1.0" encoding="utf-8"?>
<int2:intelligence xmlns:oel="http://schemas.microsoft.com/office/2019/extlst" xmlns:int2="http://schemas.microsoft.com/office/intelligence/2020/intelligence">
  <int2:observations/>
  <int2:intelligenceSettings>
    <int2:extLst>
      <oel:ext uri="74B372B9-2EFF-4315-9A3F-32BA87CA82B1">
        <int2:goals int2:version="1" int2:formality="1"/>
      </oel:ext>
    </int2:extLst>
  </int2:intelligenceSettings>
</int2:intelligence>
</file>

<file path=word/numbering.xml><?xml version="1.0" encoding="utf-8"?>
<w:numbering xmlns:w="http://schemas.openxmlformats.org/wordprocessingml/2006/main">
  <w:abstractNum xmlns:w="http://schemas.openxmlformats.org/wordprocessingml/2006/main" w:abstractNumId="5">
    <w:nsid w:val="7b44ca8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3af56ee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7cf3ac9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4128d38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aec754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C45E2A"/>
    <w:rsid w:val="27BABFE2"/>
    <w:rsid w:val="3E0715D6"/>
    <w:rsid w:val="444D4CD4"/>
    <w:rsid w:val="648E9D82"/>
    <w:rsid w:val="66C45E2A"/>
    <w:rsid w:val="69961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2DBB7"/>
  <w15:chartTrackingRefBased/>
  <w15:docId w15:val="{0D8FB83D-C010-4C36-8CEC-DEF7B6D434B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f07dba8e7b24462b" /><Relationship Type="http://schemas.microsoft.com/office/2020/10/relationships/intelligence" Target="intelligence2.xml" Id="R423ed188f8c24b52" /><Relationship Type="http://schemas.openxmlformats.org/officeDocument/2006/relationships/header" Target="header.xml" Id="R7636105bb5da4e8c" /><Relationship Type="http://schemas.openxmlformats.org/officeDocument/2006/relationships/footer" Target="footer.xml" Id="R97904e395845499f" /></Relationships>
</file>

<file path=word/_rels/footer.xml.rels>&#65279;<?xml version="1.0" encoding="utf-8"?><Relationships xmlns="http://schemas.openxmlformats.org/package/2006/relationships"><Relationship Type="http://schemas.openxmlformats.org/officeDocument/2006/relationships/image" Target="/media/image.png" Id="R2977a6ee89e1428b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2024-08-25T16:50:32.1970664Z</dcterms:created>
  <dcterms:modified xsi:type="dcterms:W3CDTF">2024-09-27T14:16:19.3585661Z</dcterms:modified>
  <dc:creator>pedro sanchez</dc:creator>
  <lastModifiedBy>pedro sanchez</lastModifiedBy>
</coreProperties>
</file>